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0E1F1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color w:val="auto"/>
          <w:sz w:val="32"/>
        </w:rPr>
      </w:pPr>
      <w:r>
        <w:rPr>
          <w:rFonts w:ascii="Times New Roman" w:hAnsi="Times New Roman"/>
          <w:b w:val="1"/>
          <w:color w:val="auto"/>
          <w:sz w:val="32"/>
        </w:rPr>
        <w:t xml:space="preserve">Структура управления МБДОУ </w:t>
      </w:r>
      <w:r>
        <w:rPr>
          <w:rFonts w:ascii="Times New Roman" w:hAnsi="Times New Roman"/>
          <w:b w:val="1"/>
          <w:color w:val="auto"/>
          <w:sz w:val="32"/>
        </w:rPr>
        <w:t xml:space="preserve"> "</w:t>
      </w:r>
      <w:r>
        <w:rPr>
          <w:rFonts w:ascii="Times New Roman" w:hAnsi="Times New Roman"/>
          <w:b w:val="1"/>
          <w:color w:val="auto"/>
          <w:sz w:val="32"/>
        </w:rPr>
        <w:t>Детский сад № 25"</w:t>
      </w:r>
    </w:p>
    <w:p>
      <w:pPr>
        <w:jc w:val="center"/>
        <w:rPr>
          <w:rFonts w:ascii="Times New Roman" w:hAnsi="Times New Roman"/>
          <w:b w:val="1"/>
          <w:color w:val="FF0000"/>
          <w:sz w:val="32"/>
        </w:rPr>
      </w:pPr>
    </w:p>
    <w:p>
      <w:pPr>
        <w:jc w:val="center"/>
        <w:rPr>
          <w:rFonts w:ascii="Times New Roman" w:hAnsi="Times New Roman"/>
          <w:b w:val="1"/>
          <w:sz w:val="32"/>
        </w:rPr>
      </w:pPr>
      <w:r>
        <w:drawing>
          <wp:anchor xmlns:wp="http://schemas.openxmlformats.org/drawingml/2006/wordprocessingDrawing" simplePos="0" allowOverlap="0" behindDoc="0" layoutInCell="0" locked="0" relativeHeight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03620" cy="39757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397573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